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41" w:rsidRPr="00156941" w:rsidRDefault="00156941" w:rsidP="00156941">
      <w:pPr>
        <w:shd w:val="clear" w:color="auto" w:fill="D9D9D9" w:themeFill="background1" w:themeFillShade="D9"/>
        <w:spacing w:after="0" w:line="240" w:lineRule="auto"/>
        <w:jc w:val="center"/>
        <w:rPr>
          <w:rFonts w:ascii="Arial Narrow" w:eastAsia="Times New Roman" w:hAnsi="Arial Narrow" w:cs="Times New Roman"/>
          <w:b/>
          <w:color w:val="000000"/>
          <w:sz w:val="24"/>
          <w:szCs w:val="24"/>
          <w:lang w:eastAsia="sk-SK"/>
        </w:rPr>
      </w:pPr>
      <w:r w:rsidRPr="00156941">
        <w:rPr>
          <w:rFonts w:ascii="Arial Narrow" w:eastAsia="Times New Roman" w:hAnsi="Arial Narrow" w:cs="Times New Roman"/>
          <w:b/>
          <w:color w:val="000000"/>
          <w:sz w:val="24"/>
          <w:szCs w:val="24"/>
          <w:lang w:eastAsia="sk-SK"/>
        </w:rPr>
        <w:t>Kritérium energetickej hospodárnosti </w:t>
      </w:r>
      <w:r w:rsidRPr="00156941">
        <w:rPr>
          <w:rFonts w:ascii="Arial Narrow" w:eastAsia="Times New Roman" w:hAnsi="Arial Narrow" w:cs="Times New Roman"/>
          <w:b/>
          <w:color w:val="000000"/>
          <w:sz w:val="24"/>
          <w:szCs w:val="24"/>
          <w:lang w:eastAsia="sk-SK"/>
        </w:rPr>
        <w:br/>
        <w:t xml:space="preserve">(stanovenie </w:t>
      </w:r>
      <w:r w:rsidRPr="00156941">
        <w:rPr>
          <w:rFonts w:ascii="Arial Narrow" w:eastAsia="Times New Roman" w:hAnsi="Arial Narrow" w:cs="Times New Roman"/>
          <w:b/>
          <w:color w:val="000000"/>
          <w:sz w:val="24"/>
          <w:szCs w:val="24"/>
          <w:shd w:val="clear" w:color="auto" w:fill="D9D9D9" w:themeFill="background1" w:themeFillShade="D9"/>
          <w:lang w:eastAsia="sk-SK"/>
        </w:rPr>
        <w:t>predpokladu splnenia energetickej hospodárnosti budov</w:t>
      </w:r>
      <w:r w:rsidRPr="00156941">
        <w:rPr>
          <w:rFonts w:ascii="Arial Narrow" w:eastAsia="Times New Roman" w:hAnsi="Arial Narrow" w:cs="Times New Roman"/>
          <w:b/>
          <w:color w:val="000000"/>
          <w:sz w:val="24"/>
          <w:szCs w:val="24"/>
          <w:lang w:eastAsia="sk-SK"/>
        </w:rPr>
        <w:t>)</w:t>
      </w:r>
    </w:p>
    <w:p w:rsidR="00156941" w:rsidRDefault="00156941" w:rsidP="00156941">
      <w:pPr>
        <w:shd w:val="clear" w:color="auto" w:fill="FFFFFF"/>
        <w:spacing w:after="0" w:line="240" w:lineRule="auto"/>
        <w:rPr>
          <w:rFonts w:ascii="Arial Narrow" w:eastAsia="Times New Roman" w:hAnsi="Arial Narrow" w:cs="Times New Roman"/>
          <w:i/>
          <w:iCs/>
          <w:color w:val="000000"/>
          <w:sz w:val="24"/>
          <w:szCs w:val="24"/>
          <w:u w:val="single"/>
          <w:lang w:eastAsia="sk-SK"/>
        </w:rPr>
      </w:pPr>
    </w:p>
    <w:p w:rsidR="00156941" w:rsidRPr="00156941" w:rsidRDefault="00156941" w:rsidP="00156941">
      <w:pPr>
        <w:shd w:val="clear" w:color="auto" w:fill="FFFFFF"/>
        <w:spacing w:after="0" w:line="240" w:lineRule="auto"/>
        <w:rPr>
          <w:rFonts w:ascii="Arial Narrow" w:eastAsia="Times New Roman" w:hAnsi="Arial Narrow" w:cs="Times New Roman"/>
          <w:i/>
          <w:iCs/>
          <w:color w:val="000000"/>
          <w:sz w:val="24"/>
          <w:szCs w:val="24"/>
          <w:u w:val="single"/>
          <w:lang w:eastAsia="sk-SK"/>
        </w:rPr>
      </w:pPr>
      <w:r w:rsidRPr="00156941">
        <w:rPr>
          <w:rFonts w:ascii="Arial Narrow" w:eastAsia="Times New Roman" w:hAnsi="Arial Narrow" w:cs="Times New Roman"/>
          <w:i/>
          <w:iCs/>
          <w:color w:val="000000"/>
          <w:sz w:val="24"/>
          <w:szCs w:val="24"/>
          <w:u w:val="single"/>
          <w:lang w:eastAsia="sk-SK"/>
        </w:rPr>
        <w:t>Požiadavky:</w:t>
      </w:r>
    </w:p>
    <w:p w:rsidR="00156941" w:rsidRPr="00156941" w:rsidRDefault="00156941" w:rsidP="00156941">
      <w:pPr>
        <w:spacing w:after="0" w:line="240" w:lineRule="auto"/>
        <w:rPr>
          <w:rFonts w:ascii="Arial Narrow" w:eastAsia="Times New Roman" w:hAnsi="Arial Narrow" w:cs="Times New Roman"/>
          <w:sz w:val="24"/>
          <w:szCs w:val="24"/>
          <w:lang w:eastAsia="sk-SK"/>
        </w:rPr>
      </w:pPr>
      <w:r w:rsidRPr="00156941">
        <w:rPr>
          <w:rFonts w:ascii="Arial Narrow" w:eastAsia="Times New Roman" w:hAnsi="Arial Narrow" w:cs="Times New Roman"/>
          <w:color w:val="000000"/>
          <w:sz w:val="24"/>
          <w:szCs w:val="24"/>
          <w:shd w:val="clear" w:color="auto" w:fill="FFFFFF"/>
          <w:lang w:eastAsia="sk-SK"/>
        </w:rPr>
        <w:t>        Výpočet potreby tepla na preukázanie predpokladu splnenia minimálnej požiadavky na energetickú hospodárnosť budovy zohľadňuje aj prevádzkový čas vykurovania budov so stanoveným vplyvom na pokles vnútornej teploty v budove určenej kategórie.</w:t>
      </w:r>
      <w:r w:rsidRPr="00156941">
        <w:rPr>
          <w:rFonts w:ascii="Arial Narrow" w:eastAsia="Times New Roman" w:hAnsi="Arial Narrow" w:cs="Times New Roman"/>
          <w:color w:val="000000"/>
          <w:sz w:val="24"/>
          <w:szCs w:val="24"/>
          <w:lang w:eastAsia="sk-SK"/>
        </w:rPr>
        <w:br/>
      </w:r>
      <w:r w:rsidRPr="00156941">
        <w:rPr>
          <w:rFonts w:ascii="Arial Narrow" w:eastAsia="Times New Roman" w:hAnsi="Arial Narrow" w:cs="Times New Roman"/>
          <w:color w:val="000000"/>
          <w:sz w:val="24"/>
          <w:szCs w:val="24"/>
          <w:lang w:eastAsia="sk-SK"/>
        </w:rPr>
        <w:br/>
      </w:r>
      <w:r w:rsidRPr="00156941">
        <w:rPr>
          <w:rFonts w:ascii="Arial Narrow" w:eastAsia="Times New Roman" w:hAnsi="Arial Narrow" w:cs="Times New Roman"/>
          <w:color w:val="000000"/>
          <w:sz w:val="24"/>
          <w:szCs w:val="24"/>
          <w:shd w:val="clear" w:color="auto" w:fill="FFFFFF"/>
          <w:lang w:eastAsia="sk-SK"/>
        </w:rPr>
        <w:t>Budovy spĺňajú kritérium energetickej hospodárnosti, ak majú v závislosti od kategórie budovy potrebu tepla na vykurovanie:</w:t>
      </w:r>
      <w:r w:rsidRPr="00156941">
        <w:rPr>
          <w:rFonts w:ascii="Arial Narrow" w:eastAsia="Times New Roman" w:hAnsi="Arial Narrow" w:cs="Times New Roman"/>
          <w:color w:val="000000"/>
          <w:sz w:val="24"/>
          <w:szCs w:val="24"/>
          <w:lang w:eastAsia="sk-SK"/>
        </w:rPr>
        <w:br/>
      </w:r>
      <w:r w:rsidRPr="00156941">
        <w:rPr>
          <w:rFonts w:ascii="Arial Narrow" w:eastAsia="Times New Roman" w:hAnsi="Arial Narrow" w:cs="Times New Roman"/>
          <w:color w:val="000000"/>
          <w:sz w:val="24"/>
          <w:szCs w:val="24"/>
          <w:lang w:eastAsia="sk-SK"/>
        </w:rPr>
        <w:br/>
      </w:r>
      <w:r w:rsidRPr="00156941">
        <w:rPr>
          <w:rFonts w:ascii="Arial Narrow" w:eastAsia="Times New Roman" w:hAnsi="Arial Narrow" w:cs="Times New Roman"/>
          <w:color w:val="000000"/>
          <w:sz w:val="24"/>
          <w:szCs w:val="24"/>
          <w:shd w:val="clear" w:color="auto" w:fill="FFFFFF"/>
          <w:lang w:eastAsia="sk-SK"/>
        </w:rPr>
        <w:t>Q</w:t>
      </w:r>
      <w:r w:rsidRPr="00156941">
        <w:rPr>
          <w:rFonts w:ascii="Arial Narrow" w:eastAsia="Times New Roman" w:hAnsi="Arial Narrow" w:cs="Times New Roman"/>
          <w:color w:val="000000"/>
          <w:sz w:val="24"/>
          <w:szCs w:val="24"/>
          <w:shd w:val="clear" w:color="auto" w:fill="FFFFFF"/>
          <w:vertAlign w:val="subscript"/>
          <w:lang w:eastAsia="sk-SK"/>
        </w:rPr>
        <w:t>EP</w:t>
      </w:r>
      <w:r w:rsidRPr="00156941">
        <w:rPr>
          <w:rFonts w:ascii="Arial Narrow" w:eastAsia="Times New Roman" w:hAnsi="Arial Narrow" w:cs="Times New Roman"/>
          <w:color w:val="000000"/>
          <w:sz w:val="24"/>
          <w:szCs w:val="24"/>
          <w:lang w:eastAsia="sk-SK"/>
        </w:rPr>
        <w:t> </w:t>
      </w:r>
      <w:r w:rsidRPr="00156941">
        <w:rPr>
          <w:rFonts w:ascii="Arial Narrow" w:eastAsia="Times New Roman" w:hAnsi="Arial Narrow" w:cs="Times New Roman"/>
          <w:color w:val="000000"/>
          <w:sz w:val="24"/>
          <w:szCs w:val="24"/>
          <w:shd w:val="clear" w:color="auto" w:fill="FFFFFF"/>
          <w:lang w:eastAsia="sk-SK"/>
        </w:rPr>
        <w:t>&lt; Q</w:t>
      </w:r>
      <w:r w:rsidRPr="00156941">
        <w:rPr>
          <w:rFonts w:ascii="Arial Narrow" w:eastAsia="Times New Roman" w:hAnsi="Arial Narrow" w:cs="Times New Roman"/>
          <w:color w:val="000000"/>
          <w:sz w:val="24"/>
          <w:szCs w:val="24"/>
          <w:shd w:val="clear" w:color="auto" w:fill="FFFFFF"/>
          <w:vertAlign w:val="subscript"/>
          <w:lang w:eastAsia="sk-SK"/>
        </w:rPr>
        <w:t>N,EP</w:t>
      </w:r>
      <w:r w:rsidRPr="00156941">
        <w:rPr>
          <w:rFonts w:ascii="Arial Narrow" w:eastAsia="Times New Roman" w:hAnsi="Arial Narrow" w:cs="Times New Roman"/>
          <w:color w:val="000000"/>
          <w:sz w:val="24"/>
          <w:szCs w:val="24"/>
          <w:lang w:eastAsia="sk-SK"/>
        </w:rPr>
        <w:br/>
      </w:r>
    </w:p>
    <w:tbl>
      <w:tblPr>
        <w:tblStyle w:val="Mkatabulky"/>
        <w:tblW w:w="4884" w:type="pct"/>
        <w:tblInd w:w="108" w:type="dxa"/>
        <w:tblLook w:val="04A0"/>
      </w:tblPr>
      <w:tblGrid>
        <w:gridCol w:w="676"/>
        <w:gridCol w:w="282"/>
        <w:gridCol w:w="8115"/>
      </w:tblGrid>
      <w:tr w:rsidR="00156941" w:rsidRPr="00156941" w:rsidTr="00156941">
        <w:tc>
          <w:tcPr>
            <w:tcW w:w="373"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Q</w:t>
            </w:r>
            <w:r w:rsidRPr="00156941">
              <w:rPr>
                <w:rFonts w:ascii="Arial Narrow" w:eastAsia="Times New Roman" w:hAnsi="Arial Narrow" w:cs="Times New Roman"/>
                <w:color w:val="000000"/>
                <w:sz w:val="24"/>
                <w:szCs w:val="24"/>
                <w:vertAlign w:val="subscript"/>
                <w:lang w:eastAsia="sk-SK"/>
              </w:rPr>
              <w:t>N,EP</w:t>
            </w:r>
          </w:p>
        </w:tc>
        <w:tc>
          <w:tcPr>
            <w:tcW w:w="155"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w:t>
            </w:r>
          </w:p>
        </w:tc>
        <w:tc>
          <w:tcPr>
            <w:tcW w:w="4472"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 xml:space="preserve">je normalizovaná hodnota potreby tepla na vykurovanie na dosiahnutie energetickej hospodárnosti budovy v </w:t>
            </w:r>
            <w:proofErr w:type="spellStart"/>
            <w:r w:rsidRPr="00156941">
              <w:rPr>
                <w:rFonts w:ascii="Arial Narrow" w:eastAsia="Times New Roman" w:hAnsi="Arial Narrow" w:cs="Times New Roman"/>
                <w:color w:val="000000"/>
                <w:sz w:val="24"/>
                <w:szCs w:val="24"/>
                <w:lang w:eastAsia="sk-SK"/>
              </w:rPr>
              <w:t>kWh</w:t>
            </w:r>
            <w:proofErr w:type="spellEnd"/>
            <w:r w:rsidRPr="00156941">
              <w:rPr>
                <w:rFonts w:ascii="Arial Narrow" w:eastAsia="Times New Roman" w:hAnsi="Arial Narrow" w:cs="Times New Roman"/>
                <w:color w:val="000000"/>
                <w:sz w:val="24"/>
                <w:szCs w:val="24"/>
                <w:lang w:eastAsia="sk-SK"/>
              </w:rPr>
              <w:t>/(m</w:t>
            </w:r>
            <w:r w:rsidRPr="00156941">
              <w:rPr>
                <w:rFonts w:ascii="Arial Narrow" w:eastAsia="Times New Roman" w:hAnsi="Arial Narrow" w:cs="Times New Roman"/>
                <w:color w:val="000000"/>
                <w:sz w:val="24"/>
                <w:szCs w:val="24"/>
                <w:vertAlign w:val="superscript"/>
                <w:lang w:eastAsia="sk-SK"/>
              </w:rPr>
              <w:t>2</w:t>
            </w:r>
            <w:r w:rsidRPr="00156941">
              <w:rPr>
                <w:rFonts w:ascii="Arial Narrow" w:eastAsia="Times New Roman" w:hAnsi="Arial Narrow" w:cs="Times New Roman"/>
                <w:color w:val="000000"/>
                <w:sz w:val="24"/>
                <w:szCs w:val="24"/>
                <w:lang w:eastAsia="sk-SK"/>
              </w:rPr>
              <w:t>.a),</w:t>
            </w:r>
          </w:p>
        </w:tc>
      </w:tr>
      <w:tr w:rsidR="00156941" w:rsidRPr="00156941" w:rsidTr="00156941">
        <w:tc>
          <w:tcPr>
            <w:tcW w:w="373"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Q</w:t>
            </w:r>
            <w:r w:rsidRPr="00156941">
              <w:rPr>
                <w:rFonts w:ascii="Arial Narrow" w:eastAsia="Times New Roman" w:hAnsi="Arial Narrow" w:cs="Times New Roman"/>
                <w:color w:val="000000"/>
                <w:sz w:val="24"/>
                <w:szCs w:val="24"/>
                <w:vertAlign w:val="subscript"/>
                <w:lang w:eastAsia="sk-SK"/>
              </w:rPr>
              <w:t>,EP</w:t>
            </w:r>
          </w:p>
        </w:tc>
        <w:tc>
          <w:tcPr>
            <w:tcW w:w="155"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w:t>
            </w:r>
          </w:p>
        </w:tc>
        <w:tc>
          <w:tcPr>
            <w:tcW w:w="4472"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 xml:space="preserve">je potreba tepla na vykurovanie na preukázanie splnenia minimálnej požiadavky na energetickú hospodárnosť budovy v </w:t>
            </w:r>
            <w:proofErr w:type="spellStart"/>
            <w:r w:rsidRPr="00156941">
              <w:rPr>
                <w:rFonts w:ascii="Arial Narrow" w:eastAsia="Times New Roman" w:hAnsi="Arial Narrow" w:cs="Times New Roman"/>
                <w:color w:val="000000"/>
                <w:sz w:val="24"/>
                <w:szCs w:val="24"/>
                <w:lang w:eastAsia="sk-SK"/>
              </w:rPr>
              <w:t>kWh</w:t>
            </w:r>
            <w:proofErr w:type="spellEnd"/>
            <w:r w:rsidRPr="00156941">
              <w:rPr>
                <w:rFonts w:ascii="Arial Narrow" w:eastAsia="Times New Roman" w:hAnsi="Arial Narrow" w:cs="Times New Roman"/>
                <w:color w:val="000000"/>
                <w:sz w:val="24"/>
                <w:szCs w:val="24"/>
                <w:lang w:eastAsia="sk-SK"/>
              </w:rPr>
              <w:t>/(m</w:t>
            </w:r>
            <w:r w:rsidRPr="00156941">
              <w:rPr>
                <w:rFonts w:ascii="Arial Narrow" w:eastAsia="Times New Roman" w:hAnsi="Arial Narrow" w:cs="Times New Roman"/>
                <w:color w:val="000000"/>
                <w:sz w:val="24"/>
                <w:szCs w:val="24"/>
                <w:vertAlign w:val="superscript"/>
                <w:lang w:eastAsia="sk-SK"/>
              </w:rPr>
              <w:t>2</w:t>
            </w:r>
            <w:r w:rsidRPr="00156941">
              <w:rPr>
                <w:rFonts w:ascii="Arial Narrow" w:eastAsia="Times New Roman" w:hAnsi="Arial Narrow" w:cs="Times New Roman"/>
                <w:color w:val="000000"/>
                <w:sz w:val="24"/>
                <w:szCs w:val="24"/>
                <w:lang w:eastAsia="sk-SK"/>
              </w:rPr>
              <w:t>.a).</w:t>
            </w:r>
          </w:p>
        </w:tc>
      </w:tr>
    </w:tbl>
    <w:p w:rsidR="00156941" w:rsidRPr="00156941" w:rsidRDefault="00156941" w:rsidP="00156941">
      <w:pPr>
        <w:spacing w:after="0" w:line="240" w:lineRule="auto"/>
        <w:rPr>
          <w:rFonts w:ascii="Arial Narrow" w:eastAsia="Times New Roman" w:hAnsi="Arial Narrow" w:cs="Times New Roman"/>
          <w:sz w:val="24"/>
          <w:szCs w:val="24"/>
          <w:lang w:eastAsia="sk-SK"/>
        </w:rPr>
      </w:pPr>
    </w:p>
    <w:p w:rsidR="00156941" w:rsidRPr="00156941" w:rsidRDefault="00156941" w:rsidP="00156941">
      <w:pPr>
        <w:shd w:val="clear" w:color="auto" w:fill="FFFFFF"/>
        <w:spacing w:after="0" w:line="240" w:lineRule="auto"/>
        <w:rPr>
          <w:rFonts w:ascii="Arial Narrow" w:eastAsia="Times New Roman" w:hAnsi="Arial Narrow" w:cs="Times New Roman"/>
          <w:sz w:val="24"/>
          <w:szCs w:val="24"/>
          <w:lang w:eastAsia="sk-SK"/>
        </w:rPr>
      </w:pPr>
      <w:r w:rsidRPr="00156941">
        <w:rPr>
          <w:rFonts w:ascii="Arial Narrow" w:eastAsia="Times New Roman" w:hAnsi="Arial Narrow" w:cs="Times New Roman"/>
          <w:sz w:val="24"/>
          <w:szCs w:val="24"/>
          <w:lang w:eastAsia="sk-SK"/>
        </w:rPr>
        <w:t xml:space="preserve">POZNÁMKA 1. - Merná potreba tepla na vykurovanie na stanovenie predpokladu splnenia minimálnej požiadavky na energetickú hospodárnosť budovy podľa tejto normy slúži na vzájomné porovnanie budov pri zohľadnení vplyvu osadenia budovy vzhľadom na svetové strany, </w:t>
      </w:r>
      <w:proofErr w:type="spellStart"/>
      <w:r w:rsidRPr="00156941">
        <w:rPr>
          <w:rFonts w:ascii="Arial Narrow" w:eastAsia="Times New Roman" w:hAnsi="Arial Narrow" w:cs="Times New Roman"/>
          <w:sz w:val="24"/>
          <w:szCs w:val="24"/>
          <w:lang w:eastAsia="sk-SK"/>
        </w:rPr>
        <w:t>tepelnotechnickú</w:t>
      </w:r>
      <w:proofErr w:type="spellEnd"/>
      <w:r w:rsidRPr="00156941">
        <w:rPr>
          <w:rFonts w:ascii="Arial Narrow" w:eastAsia="Times New Roman" w:hAnsi="Arial Narrow" w:cs="Times New Roman"/>
          <w:sz w:val="24"/>
          <w:szCs w:val="24"/>
          <w:lang w:eastAsia="sk-SK"/>
        </w:rPr>
        <w:t xml:space="preserve"> kvalitu stavebných konštrukcií a normalizovaný spôsob užívania. Nie je hodnotením skutočnej spotreby energie v konkrétnych podmienkach.</w:t>
      </w:r>
    </w:p>
    <w:p w:rsidR="00156941" w:rsidRPr="00156941" w:rsidRDefault="00156941" w:rsidP="00156941">
      <w:pPr>
        <w:shd w:val="clear" w:color="auto" w:fill="FFFFFF"/>
        <w:spacing w:after="0" w:line="240" w:lineRule="auto"/>
        <w:rPr>
          <w:rFonts w:ascii="Arial Narrow" w:eastAsia="Times New Roman" w:hAnsi="Arial Narrow" w:cs="Times New Roman"/>
          <w:sz w:val="24"/>
          <w:szCs w:val="24"/>
          <w:lang w:eastAsia="sk-SK"/>
        </w:rPr>
      </w:pPr>
      <w:r w:rsidRPr="00156941">
        <w:rPr>
          <w:rFonts w:ascii="Arial Narrow" w:eastAsia="Times New Roman" w:hAnsi="Arial Narrow" w:cs="Times New Roman"/>
          <w:sz w:val="24"/>
          <w:szCs w:val="24"/>
          <w:lang w:eastAsia="sk-SK"/>
        </w:rPr>
        <w:t>POZNÁMKA 2. - Potreba tepla na vykurovanie podľa tejto normy sa používa na projektové a normalizované energetické hodnotenie podľa STN EN 15217 s uvažovaním klimatických podmienok podľa STN 73 0540-3 na výpočet energetickej hospodárnosti budov.</w:t>
      </w:r>
    </w:p>
    <w:p w:rsidR="00156941" w:rsidRPr="00156941" w:rsidRDefault="00156941" w:rsidP="00156941">
      <w:pPr>
        <w:spacing w:after="0" w:line="240" w:lineRule="auto"/>
        <w:rPr>
          <w:rFonts w:ascii="Arial Narrow" w:eastAsia="Times New Roman" w:hAnsi="Arial Narrow" w:cs="Times New Roman"/>
          <w:sz w:val="24"/>
          <w:szCs w:val="24"/>
          <w:lang w:eastAsia="sk-SK"/>
        </w:rPr>
      </w:pPr>
    </w:p>
    <w:p w:rsidR="00156941" w:rsidRPr="00156941" w:rsidRDefault="00156941" w:rsidP="00156941">
      <w:pPr>
        <w:shd w:val="clear" w:color="auto" w:fill="FFFFFF"/>
        <w:spacing w:after="0" w:line="240" w:lineRule="auto"/>
        <w:rPr>
          <w:rFonts w:ascii="Arial Narrow" w:eastAsia="Times New Roman" w:hAnsi="Arial Narrow" w:cs="Times New Roman"/>
          <w:sz w:val="24"/>
          <w:szCs w:val="24"/>
          <w:lang w:eastAsia="sk-SK"/>
        </w:rPr>
      </w:pPr>
      <w:r w:rsidRPr="00156941">
        <w:rPr>
          <w:rFonts w:ascii="Arial Narrow" w:eastAsia="Times New Roman" w:hAnsi="Arial Narrow" w:cs="Times New Roman"/>
          <w:sz w:val="24"/>
          <w:szCs w:val="24"/>
          <w:lang w:eastAsia="sk-SK"/>
        </w:rPr>
        <w:t>POZNÁMKA 1. - Merná potreba tepla stanovená podľa tejto normy slúži na vzájomné porovnanie projektového riešenia budov zohľadnením vplyvu osadenia budovy vzhľadom na svetové strany a tepelnotechnickej kvality stavebných konštrukcií. Nie je hodnotením skutočnej spotreby energie v konkrétnych podmienkach osadenia a spôsobu užívania budovy.</w:t>
      </w:r>
    </w:p>
    <w:p w:rsidR="00156941" w:rsidRPr="00156941" w:rsidRDefault="00156941" w:rsidP="00156941">
      <w:pPr>
        <w:spacing w:after="0" w:line="240" w:lineRule="auto"/>
        <w:rPr>
          <w:rFonts w:ascii="Arial Narrow" w:eastAsia="Times New Roman" w:hAnsi="Arial Narrow" w:cs="Times New Roman"/>
          <w:sz w:val="24"/>
          <w:szCs w:val="24"/>
          <w:lang w:eastAsia="sk-SK"/>
        </w:rPr>
      </w:pPr>
    </w:p>
    <w:p w:rsidR="00156941" w:rsidRPr="00156941" w:rsidRDefault="00156941" w:rsidP="00156941">
      <w:pPr>
        <w:shd w:val="clear" w:color="auto" w:fill="FFFFFF"/>
        <w:spacing w:after="0" w:line="240" w:lineRule="auto"/>
        <w:rPr>
          <w:rFonts w:ascii="Arial Narrow" w:eastAsia="Times New Roman" w:hAnsi="Arial Narrow" w:cs="Times New Roman"/>
          <w:i/>
          <w:iCs/>
          <w:color w:val="000000"/>
          <w:sz w:val="24"/>
          <w:szCs w:val="24"/>
          <w:u w:val="single"/>
          <w:lang w:eastAsia="sk-SK"/>
        </w:rPr>
      </w:pPr>
      <w:r w:rsidRPr="00156941">
        <w:rPr>
          <w:rFonts w:ascii="Arial Narrow" w:eastAsia="Times New Roman" w:hAnsi="Arial Narrow" w:cs="Times New Roman"/>
          <w:i/>
          <w:iCs/>
          <w:color w:val="000000"/>
          <w:sz w:val="24"/>
          <w:szCs w:val="24"/>
          <w:u w:val="single"/>
          <w:lang w:eastAsia="sk-SK"/>
        </w:rPr>
        <w:t>Posúdenie preukázania predpokladu dosiahnutia energetickej hospodárnosti budovy podľa STN 73 0540 (2012):</w:t>
      </w:r>
    </w:p>
    <w:tbl>
      <w:tblPr>
        <w:tblStyle w:val="Mkatabulky"/>
        <w:tblW w:w="4884" w:type="pct"/>
        <w:tblInd w:w="108" w:type="dxa"/>
        <w:tblLook w:val="04A0"/>
      </w:tblPr>
      <w:tblGrid>
        <w:gridCol w:w="6489"/>
        <w:gridCol w:w="1209"/>
        <w:gridCol w:w="1375"/>
      </w:tblGrid>
      <w:tr w:rsidR="00156941" w:rsidRPr="00156941" w:rsidTr="00156941">
        <w:tc>
          <w:tcPr>
            <w:tcW w:w="3576" w:type="pct"/>
            <w:vMerge w:val="restart"/>
            <w:hideMark/>
          </w:tcPr>
          <w:p w:rsidR="00156941" w:rsidRPr="00156941" w:rsidRDefault="00156941" w:rsidP="00156941">
            <w:pPr>
              <w:rPr>
                <w:rFonts w:ascii="Arial Narrow" w:eastAsia="Times New Roman" w:hAnsi="Arial Narrow" w:cs="Times New Roman"/>
                <w:color w:val="000000"/>
                <w:sz w:val="24"/>
                <w:szCs w:val="24"/>
                <w:lang w:eastAsia="sk-SK"/>
              </w:rPr>
            </w:pPr>
          </w:p>
        </w:tc>
        <w:tc>
          <w:tcPr>
            <w:tcW w:w="1424" w:type="pct"/>
            <w:gridSpan w:val="2"/>
            <w:hideMark/>
          </w:tcPr>
          <w:p w:rsidR="00156941" w:rsidRPr="00156941" w:rsidRDefault="00156941" w:rsidP="00156941">
            <w:pPr>
              <w:jc w:val="cente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Stav</w:t>
            </w:r>
          </w:p>
        </w:tc>
      </w:tr>
      <w:tr w:rsidR="00156941" w:rsidRPr="00156941" w:rsidTr="00156941">
        <w:tc>
          <w:tcPr>
            <w:tcW w:w="3576" w:type="pct"/>
            <w:vMerge/>
            <w:hideMark/>
          </w:tcPr>
          <w:p w:rsidR="00156941" w:rsidRPr="00156941" w:rsidRDefault="00156941" w:rsidP="00156941">
            <w:pPr>
              <w:rPr>
                <w:rFonts w:ascii="Arial Narrow" w:eastAsia="Times New Roman" w:hAnsi="Arial Narrow" w:cs="Times New Roman"/>
                <w:color w:val="000000"/>
                <w:sz w:val="24"/>
                <w:szCs w:val="24"/>
                <w:lang w:eastAsia="sk-SK"/>
              </w:rPr>
            </w:pPr>
          </w:p>
        </w:tc>
        <w:tc>
          <w:tcPr>
            <w:tcW w:w="666"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Aktuálny</w:t>
            </w:r>
          </w:p>
        </w:tc>
        <w:tc>
          <w:tcPr>
            <w:tcW w:w="758"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Navrhovaný</w:t>
            </w:r>
          </w:p>
        </w:tc>
      </w:tr>
      <w:tr w:rsidR="00156941" w:rsidRPr="00156941" w:rsidTr="00156941">
        <w:tc>
          <w:tcPr>
            <w:tcW w:w="3576"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Vypočítaný priemerný súčiniteľ budovy Q</w:t>
            </w:r>
            <w:r w:rsidRPr="00156941">
              <w:rPr>
                <w:rFonts w:ascii="Arial Narrow" w:eastAsia="Times New Roman" w:hAnsi="Arial Narrow" w:cs="Times New Roman"/>
                <w:color w:val="000000"/>
                <w:sz w:val="24"/>
                <w:szCs w:val="24"/>
                <w:vertAlign w:val="subscript"/>
                <w:lang w:eastAsia="sk-SK"/>
              </w:rPr>
              <w:t>EP</w:t>
            </w:r>
            <w:r w:rsidRPr="00156941">
              <w:rPr>
                <w:rFonts w:ascii="Arial Narrow" w:eastAsia="Times New Roman" w:hAnsi="Arial Narrow" w:cs="Times New Roman"/>
                <w:color w:val="000000"/>
                <w:sz w:val="24"/>
                <w:szCs w:val="24"/>
                <w:lang w:eastAsia="sk-SK"/>
              </w:rPr>
              <w:t xml:space="preserve"> v </w:t>
            </w:r>
            <w:proofErr w:type="spellStart"/>
            <w:r w:rsidRPr="00156941">
              <w:rPr>
                <w:rFonts w:ascii="Arial Narrow" w:eastAsia="Times New Roman" w:hAnsi="Arial Narrow" w:cs="Times New Roman"/>
                <w:color w:val="000000"/>
                <w:sz w:val="24"/>
                <w:szCs w:val="24"/>
                <w:lang w:eastAsia="sk-SK"/>
              </w:rPr>
              <w:t>kWh</w:t>
            </w:r>
            <w:proofErr w:type="spellEnd"/>
            <w:r w:rsidRPr="00156941">
              <w:rPr>
                <w:rFonts w:ascii="Arial Narrow" w:eastAsia="Times New Roman" w:hAnsi="Arial Narrow" w:cs="Times New Roman"/>
                <w:color w:val="000000"/>
                <w:sz w:val="24"/>
                <w:szCs w:val="24"/>
                <w:lang w:eastAsia="sk-SK"/>
              </w:rPr>
              <w:t>/(m2.a)</w:t>
            </w:r>
          </w:p>
        </w:tc>
        <w:tc>
          <w:tcPr>
            <w:tcW w:w="666"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80.71</w:t>
            </w:r>
          </w:p>
        </w:tc>
        <w:tc>
          <w:tcPr>
            <w:tcW w:w="758"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70.64</w:t>
            </w:r>
          </w:p>
        </w:tc>
      </w:tr>
      <w:tr w:rsidR="00156941" w:rsidRPr="00156941" w:rsidTr="00156941">
        <w:tc>
          <w:tcPr>
            <w:tcW w:w="3576"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Normalizovaná hodnota Q</w:t>
            </w:r>
            <w:r w:rsidRPr="00156941">
              <w:rPr>
                <w:rFonts w:ascii="Arial Narrow" w:eastAsia="Times New Roman" w:hAnsi="Arial Narrow" w:cs="Times New Roman"/>
                <w:color w:val="000000"/>
                <w:sz w:val="24"/>
                <w:szCs w:val="24"/>
                <w:vertAlign w:val="subscript"/>
                <w:lang w:eastAsia="sk-SK"/>
              </w:rPr>
              <w:t>N,EP</w:t>
            </w:r>
            <w:r w:rsidRPr="00156941">
              <w:rPr>
                <w:rFonts w:ascii="Arial Narrow" w:eastAsia="Times New Roman" w:hAnsi="Arial Narrow" w:cs="Times New Roman"/>
                <w:color w:val="000000"/>
                <w:sz w:val="24"/>
                <w:szCs w:val="24"/>
                <w:lang w:eastAsia="sk-SK"/>
              </w:rPr>
              <w:t xml:space="preserve"> v </w:t>
            </w:r>
            <w:proofErr w:type="spellStart"/>
            <w:r w:rsidRPr="00156941">
              <w:rPr>
                <w:rFonts w:ascii="Arial Narrow" w:eastAsia="Times New Roman" w:hAnsi="Arial Narrow" w:cs="Times New Roman"/>
                <w:color w:val="000000"/>
                <w:sz w:val="24"/>
                <w:szCs w:val="24"/>
                <w:lang w:eastAsia="sk-SK"/>
              </w:rPr>
              <w:t>kWh</w:t>
            </w:r>
            <w:proofErr w:type="spellEnd"/>
            <w:r w:rsidRPr="00156941">
              <w:rPr>
                <w:rFonts w:ascii="Arial Narrow" w:eastAsia="Times New Roman" w:hAnsi="Arial Narrow" w:cs="Times New Roman"/>
                <w:color w:val="000000"/>
                <w:sz w:val="24"/>
                <w:szCs w:val="24"/>
                <w:lang w:eastAsia="sk-SK"/>
              </w:rPr>
              <w:t>/(m2.a)</w:t>
            </w:r>
          </w:p>
        </w:tc>
        <w:tc>
          <w:tcPr>
            <w:tcW w:w="666"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81.4</w:t>
            </w:r>
          </w:p>
        </w:tc>
        <w:tc>
          <w:tcPr>
            <w:tcW w:w="758"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81.4</w:t>
            </w:r>
          </w:p>
        </w:tc>
      </w:tr>
      <w:tr w:rsidR="00156941" w:rsidRPr="00156941" w:rsidTr="00156941">
        <w:tc>
          <w:tcPr>
            <w:tcW w:w="3576"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Posúdenie</w:t>
            </w:r>
          </w:p>
        </w:tc>
        <w:tc>
          <w:tcPr>
            <w:tcW w:w="666"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vyhovuje</w:t>
            </w:r>
          </w:p>
        </w:tc>
        <w:tc>
          <w:tcPr>
            <w:tcW w:w="758" w:type="pct"/>
            <w:hideMark/>
          </w:tcPr>
          <w:p w:rsidR="00156941" w:rsidRPr="00156941" w:rsidRDefault="00156941" w:rsidP="00156941">
            <w:pPr>
              <w:rPr>
                <w:rFonts w:ascii="Arial Narrow" w:eastAsia="Times New Roman" w:hAnsi="Arial Narrow" w:cs="Times New Roman"/>
                <w:color w:val="000000"/>
                <w:sz w:val="24"/>
                <w:szCs w:val="24"/>
                <w:lang w:eastAsia="sk-SK"/>
              </w:rPr>
            </w:pPr>
            <w:r w:rsidRPr="00156941">
              <w:rPr>
                <w:rFonts w:ascii="Arial Narrow" w:eastAsia="Times New Roman" w:hAnsi="Arial Narrow" w:cs="Times New Roman"/>
                <w:color w:val="000000"/>
                <w:sz w:val="24"/>
                <w:szCs w:val="24"/>
                <w:lang w:eastAsia="sk-SK"/>
              </w:rPr>
              <w:t>vyhovuje</w:t>
            </w:r>
          </w:p>
        </w:tc>
      </w:tr>
    </w:tbl>
    <w:p w:rsidR="00156941" w:rsidRPr="00156941" w:rsidRDefault="00156941" w:rsidP="00156941">
      <w:pPr>
        <w:shd w:val="clear" w:color="auto" w:fill="FFFFFF"/>
        <w:spacing w:after="0" w:line="240" w:lineRule="auto"/>
        <w:jc w:val="center"/>
        <w:rPr>
          <w:rFonts w:ascii="Arial Narrow" w:eastAsia="Times New Roman" w:hAnsi="Arial Narrow" w:cs="Times New Roman"/>
          <w:color w:val="444444"/>
          <w:sz w:val="24"/>
          <w:szCs w:val="24"/>
          <w:lang w:eastAsia="sk-SK"/>
        </w:rPr>
      </w:pPr>
      <w:r w:rsidRPr="00156941">
        <w:rPr>
          <w:rFonts w:ascii="Arial Narrow" w:eastAsia="Times New Roman" w:hAnsi="Arial Narrow" w:cs="Times New Roman"/>
          <w:color w:val="444444"/>
          <w:sz w:val="24"/>
          <w:szCs w:val="24"/>
          <w:lang w:eastAsia="sk-SK"/>
        </w:rPr>
        <w:t xml:space="preserve">Vygenerované softwarom </w:t>
      </w:r>
      <w:proofErr w:type="spellStart"/>
      <w:r w:rsidRPr="00156941">
        <w:rPr>
          <w:rFonts w:ascii="Arial Narrow" w:eastAsia="Times New Roman" w:hAnsi="Arial Narrow" w:cs="Times New Roman"/>
          <w:color w:val="444444"/>
          <w:sz w:val="24"/>
          <w:szCs w:val="24"/>
          <w:lang w:eastAsia="sk-SK"/>
        </w:rPr>
        <w:t>www.ehb.sk</w:t>
      </w:r>
      <w:proofErr w:type="spellEnd"/>
    </w:p>
    <w:p w:rsidR="00F54E0E" w:rsidRPr="00156941" w:rsidRDefault="00F54E0E">
      <w:pPr>
        <w:rPr>
          <w:rFonts w:ascii="Arial Narrow" w:hAnsi="Arial Narrow"/>
          <w:sz w:val="24"/>
          <w:szCs w:val="24"/>
        </w:rPr>
      </w:pPr>
    </w:p>
    <w:sectPr w:rsidR="00F54E0E" w:rsidRPr="00156941" w:rsidSect="00F54E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56941"/>
    <w:rsid w:val="00156941"/>
    <w:rsid w:val="00F54E0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4E0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156941"/>
  </w:style>
  <w:style w:type="table" w:styleId="Mkatabulky">
    <w:name w:val="Table Grid"/>
    <w:basedOn w:val="Normlntabulka"/>
    <w:uiPriority w:val="59"/>
    <w:rsid w:val="00156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8225437">
      <w:bodyDiv w:val="1"/>
      <w:marLeft w:val="0"/>
      <w:marRight w:val="0"/>
      <w:marTop w:val="0"/>
      <w:marBottom w:val="0"/>
      <w:divBdr>
        <w:top w:val="none" w:sz="0" w:space="0" w:color="auto"/>
        <w:left w:val="none" w:sz="0" w:space="0" w:color="auto"/>
        <w:bottom w:val="none" w:sz="0" w:space="0" w:color="auto"/>
        <w:right w:val="none" w:sz="0" w:space="0" w:color="auto"/>
      </w:divBdr>
      <w:divsChild>
        <w:div w:id="914894468">
          <w:marLeft w:val="0"/>
          <w:marRight w:val="0"/>
          <w:marTop w:val="0"/>
          <w:marBottom w:val="0"/>
          <w:divBdr>
            <w:top w:val="none" w:sz="0" w:space="0" w:color="auto"/>
            <w:left w:val="none" w:sz="0" w:space="0" w:color="auto"/>
            <w:bottom w:val="none" w:sz="0" w:space="0" w:color="auto"/>
            <w:right w:val="none" w:sz="0" w:space="0" w:color="auto"/>
          </w:divBdr>
        </w:div>
        <w:div w:id="534734960">
          <w:marLeft w:val="0"/>
          <w:marRight w:val="0"/>
          <w:marTop w:val="0"/>
          <w:marBottom w:val="0"/>
          <w:divBdr>
            <w:top w:val="none" w:sz="0" w:space="0" w:color="auto"/>
            <w:left w:val="none" w:sz="0" w:space="0" w:color="auto"/>
            <w:bottom w:val="none" w:sz="0" w:space="0" w:color="auto"/>
            <w:right w:val="none" w:sz="0" w:space="0" w:color="auto"/>
          </w:divBdr>
        </w:div>
        <w:div w:id="750852878">
          <w:marLeft w:val="0"/>
          <w:marRight w:val="0"/>
          <w:marTop w:val="0"/>
          <w:marBottom w:val="0"/>
          <w:divBdr>
            <w:top w:val="none" w:sz="0" w:space="0" w:color="auto"/>
            <w:left w:val="none" w:sz="0" w:space="0" w:color="auto"/>
            <w:bottom w:val="none" w:sz="0" w:space="0" w:color="auto"/>
            <w:right w:val="none" w:sz="0" w:space="0" w:color="auto"/>
          </w:divBdr>
        </w:div>
        <w:div w:id="1977560647">
          <w:marLeft w:val="0"/>
          <w:marRight w:val="0"/>
          <w:marTop w:val="0"/>
          <w:marBottom w:val="0"/>
          <w:divBdr>
            <w:top w:val="none" w:sz="0" w:space="0" w:color="auto"/>
            <w:left w:val="none" w:sz="0" w:space="0" w:color="auto"/>
            <w:bottom w:val="none" w:sz="0" w:space="0" w:color="auto"/>
            <w:right w:val="none" w:sz="0" w:space="0" w:color="auto"/>
          </w:divBdr>
        </w:div>
        <w:div w:id="1930458363">
          <w:marLeft w:val="0"/>
          <w:marRight w:val="0"/>
          <w:marTop w:val="0"/>
          <w:marBottom w:val="0"/>
          <w:divBdr>
            <w:top w:val="none" w:sz="0" w:space="0" w:color="auto"/>
            <w:left w:val="none" w:sz="0" w:space="0" w:color="auto"/>
            <w:bottom w:val="none" w:sz="0" w:space="0" w:color="auto"/>
            <w:right w:val="none" w:sz="0" w:space="0" w:color="auto"/>
          </w:divBdr>
        </w:div>
        <w:div w:id="2118063001">
          <w:marLeft w:val="0"/>
          <w:marRight w:val="0"/>
          <w:marTop w:val="0"/>
          <w:marBottom w:val="0"/>
          <w:divBdr>
            <w:top w:val="single" w:sz="4" w:space="3" w:color="EEEEEE"/>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dc:creator>
  <cp:lastModifiedBy>enge</cp:lastModifiedBy>
  <cp:revision>1</cp:revision>
  <dcterms:created xsi:type="dcterms:W3CDTF">2013-10-03T17:29:00Z</dcterms:created>
  <dcterms:modified xsi:type="dcterms:W3CDTF">2013-10-03T17:30:00Z</dcterms:modified>
</cp:coreProperties>
</file>